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77777777" w:rsidR="00D2776F" w:rsidRPr="00543B67" w:rsidRDefault="00D2776F" w:rsidP="00D2776F">
      <w:pPr>
        <w:pStyle w:val="MDPI21heading1"/>
      </w:pPr>
      <w:r>
        <w:t>3</w:t>
      </w:r>
      <w:r w:rsidRPr="00543B67">
        <w:t>. Results</w:t>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0A6D" w14:textId="77777777" w:rsidR="00834C87" w:rsidRDefault="00834C87" w:rsidP="00C1340D">
      <w:r>
        <w:separator/>
      </w:r>
    </w:p>
  </w:endnote>
  <w:endnote w:type="continuationSeparator" w:id="0">
    <w:p w14:paraId="515FB31D" w14:textId="77777777" w:rsidR="00834C87" w:rsidRDefault="00834C87"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F6A3" w14:textId="77777777" w:rsidR="00D82DF4" w:rsidRDefault="00D82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933807"/>
      <w:docPartObj>
        <w:docPartGallery w:val="Page Numbers (Bottom of Page)"/>
        <w:docPartUnique/>
      </w:docPartObj>
    </w:sdtPr>
    <w:sdtEndPr>
      <w:rPr>
        <w:noProof/>
      </w:rPr>
    </w:sdtEndPr>
    <w:sdtContent>
      <w:p w14:paraId="2DC78410" w14:textId="77777777" w:rsidR="002F6405" w:rsidRDefault="002F6405">
        <w:pPr>
          <w:pStyle w:val="Footer"/>
          <w:ind w:firstLine="120"/>
          <w:jc w:val="center"/>
        </w:pPr>
        <w:r>
          <w:fldChar w:fldCharType="begin"/>
        </w:r>
        <w:r>
          <w:instrText xml:space="preserve"> PAGE   \* MERGEFORMAT </w:instrText>
        </w:r>
        <w:r>
          <w:fldChar w:fldCharType="separate"/>
        </w:r>
        <w:r w:rsidR="00E055BA">
          <w:rPr>
            <w:noProof/>
          </w:rPr>
          <w:t>4</w:t>
        </w:r>
        <w:r>
          <w:rPr>
            <w:noProof/>
          </w:rPr>
          <w:fldChar w:fldCharType="end"/>
        </w:r>
      </w:p>
    </w:sdtContent>
  </w:sdt>
  <w:p w14:paraId="5A222E68" w14:textId="77777777" w:rsidR="00953BF5" w:rsidRPr="004B134F" w:rsidRDefault="00953BF5" w:rsidP="004B134F">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A715" w14:textId="5B0EC44B" w:rsidR="00391035" w:rsidRPr="00357C44" w:rsidRDefault="00D82DF4"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The 1st International Electronic Conference on Plant Science, 1–15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275F" w14:textId="77777777" w:rsidR="00834C87" w:rsidRDefault="00834C87" w:rsidP="00C1340D">
      <w:r>
        <w:separator/>
      </w:r>
    </w:p>
  </w:footnote>
  <w:footnote w:type="continuationSeparator" w:id="0">
    <w:p w14:paraId="65C3435D" w14:textId="77777777" w:rsidR="00834C87" w:rsidRDefault="00834C87"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814792844"/>
      <w:docPartObj>
        <w:docPartGallery w:val="Page Numbers (Top of Page)"/>
        <w:docPartUnique/>
      </w:docPartObj>
    </w:sdtPr>
    <w:sdtEndPr>
      <w:rPr>
        <w:rFonts w:ascii="Palatino Linotype" w:hAnsi="Palatino Linotype"/>
        <w:i w:val="0"/>
        <w:color w:val="auto"/>
        <w:sz w:val="16"/>
      </w:rPr>
    </w:sdtEndPr>
    <w:sdtContent>
      <w:p w14:paraId="11A50DF3" w14:textId="3623C344" w:rsidR="002F6405" w:rsidRPr="00357C44" w:rsidRDefault="00D82DF4"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The 1st International Electronic Conference on Plant Science, 1–15 December 2020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71A7" w14:textId="2586AAF0"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5ECD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5B5D393E"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r w:rsidR="00EF1434">
      <w:rPr>
        <w:noProof/>
      </w:rPr>
      <w:drawing>
        <wp:inline distT="0" distB="0" distL="0" distR="0" wp14:anchorId="3A588BFC" wp14:editId="0B308501">
          <wp:extent cx="620202" cy="620202"/>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IECPS 2020 logo.jpg"/>
                  <pic:cNvPicPr/>
                </pic:nvPicPr>
                <pic:blipFill>
                  <a:blip r:embed="rId1">
                    <a:extLst>
                      <a:ext uri="{28A0092B-C50C-407E-A947-70E740481C1C}">
                        <a14:useLocalDpi xmlns:a14="http://schemas.microsoft.com/office/drawing/2010/main" val="0"/>
                      </a:ext>
                    </a:extLst>
                  </a:blip>
                  <a:stretch>
                    <a:fillRect/>
                  </a:stretch>
                </pic:blipFill>
                <pic:spPr>
                  <a:xfrm>
                    <a:off x="0" y="0"/>
                    <a:ext cx="634049" cy="634049"/>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C87"/>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BF"/>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2DF4"/>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1434"/>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DFBF-3CD3-41F5-AB2D-3F13A40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7</TotalTime>
  <Pages>4</Pages>
  <Words>1490</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5</cp:revision>
  <cp:lastPrinted>2016-01-29T01:37:00Z</cp:lastPrinted>
  <dcterms:created xsi:type="dcterms:W3CDTF">2020-04-27T09:11:00Z</dcterms:created>
  <dcterms:modified xsi:type="dcterms:W3CDTF">2020-06-30T08:21:00Z</dcterms:modified>
</cp:coreProperties>
</file>